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729C" w14:textId="77777777" w:rsidR="00824427" w:rsidRDefault="00824427">
      <w:pPr>
        <w:ind w:left="0" w:hanging="2"/>
        <w:jc w:val="center"/>
      </w:pPr>
    </w:p>
    <w:p w14:paraId="5FCA6E1D" w14:textId="77777777" w:rsidR="00824427" w:rsidRDefault="00970E25">
      <w:pPr>
        <w:ind w:left="0" w:hanging="2"/>
        <w:jc w:val="center"/>
      </w:pPr>
      <w:r>
        <w:t>The Bio/Diversity Project</w:t>
      </w:r>
    </w:p>
    <w:p w14:paraId="73EF2526" w14:textId="77777777" w:rsidR="00824427" w:rsidRDefault="00970E25">
      <w:pPr>
        <w:ind w:left="0" w:hanging="2"/>
        <w:jc w:val="center"/>
      </w:pPr>
      <w:r>
        <w:t xml:space="preserve">Lesson Title: </w:t>
      </w:r>
      <w:r>
        <w:rPr>
          <w:rFonts w:ascii="Calibri" w:eastAsia="Calibri" w:hAnsi="Calibri" w:cs="Calibri"/>
          <w:b/>
          <w:sz w:val="22"/>
          <w:szCs w:val="22"/>
        </w:rPr>
        <w:t xml:space="preserve">Importance of Biodiversity within the Sonoran Desert </w:t>
      </w:r>
    </w:p>
    <w:p w14:paraId="3871221C" w14:textId="77777777" w:rsidR="00824427" w:rsidRDefault="00824427">
      <w:pPr>
        <w:ind w:left="0" w:hanging="2"/>
        <w:rPr>
          <w:sz w:val="20"/>
          <w:szCs w:val="20"/>
        </w:rPr>
      </w:pPr>
    </w:p>
    <w:p w14:paraId="67365706" w14:textId="77777777" w:rsidR="00824427" w:rsidRPr="002C3A4F" w:rsidRDefault="00970E25">
      <w:pPr>
        <w:ind w:left="0" w:hanging="2"/>
        <w:rPr>
          <w:lang w:val="es-US"/>
        </w:rPr>
      </w:pPr>
      <w:r w:rsidRPr="002C3A4F">
        <w:rPr>
          <w:lang w:val="es-US"/>
        </w:rPr>
        <w:t xml:space="preserve">Teacher: </w:t>
      </w:r>
      <w:r w:rsidRPr="002C3A4F">
        <w:rPr>
          <w:i/>
          <w:lang w:val="es-US"/>
        </w:rPr>
        <w:t xml:space="preserve">Alexandra Salido Almada and Nicole Granados </w:t>
      </w:r>
      <w:r w:rsidRPr="002C3A4F">
        <w:rPr>
          <w:lang w:val="es-US"/>
        </w:rPr>
        <w:tab/>
      </w:r>
    </w:p>
    <w:p w14:paraId="2AB56CA1" w14:textId="77777777" w:rsidR="00824427" w:rsidRDefault="00970E25">
      <w:pPr>
        <w:ind w:left="0" w:hanging="2"/>
        <w:rPr>
          <w:i/>
        </w:rPr>
      </w:pPr>
      <w:r>
        <w:t xml:space="preserve">Grade Level: </w:t>
      </w:r>
      <w:r>
        <w:rPr>
          <w:i/>
        </w:rPr>
        <w:t>6th</w:t>
      </w:r>
    </w:p>
    <w:p w14:paraId="0D15221A" w14:textId="77777777" w:rsidR="00824427" w:rsidRDefault="00970E25">
      <w:pPr>
        <w:ind w:left="0" w:hanging="2"/>
        <w:rPr>
          <w:i/>
        </w:rPr>
      </w:pPr>
      <w:r>
        <w:t>Time:</w:t>
      </w:r>
      <w:r>
        <w:rPr>
          <w:i/>
        </w:rPr>
        <w:t xml:space="preserve"> 30 minutes + </w:t>
      </w:r>
      <w:proofErr w:type="gramStart"/>
      <w:r>
        <w:rPr>
          <w:i/>
        </w:rPr>
        <w:t>10 minute</w:t>
      </w:r>
      <w:proofErr w:type="gramEnd"/>
      <w:r>
        <w:rPr>
          <w:i/>
        </w:rPr>
        <w:t xml:space="preserve"> pre-assignment</w:t>
      </w:r>
    </w:p>
    <w:p w14:paraId="7EC9E91A" w14:textId="77777777" w:rsidR="00824427" w:rsidRDefault="00824427">
      <w:pPr>
        <w:ind w:left="0" w:hanging="2"/>
        <w:rPr>
          <w:i/>
        </w:rPr>
      </w:pPr>
    </w:p>
    <w:p w14:paraId="23008A5A" w14:textId="77777777" w:rsidR="00824427" w:rsidRDefault="00970E25">
      <w:pPr>
        <w:ind w:left="0" w:hanging="2"/>
        <w:rPr>
          <w:i/>
        </w:rPr>
      </w:pPr>
      <w:r>
        <w:rPr>
          <w:i/>
        </w:rPr>
        <w:t xml:space="preserve">Adapted from: </w:t>
      </w:r>
      <w:hyperlink r:id="rId8">
        <w:r>
          <w:rPr>
            <w:i/>
            <w:color w:val="1155CC"/>
            <w:u w:val="single"/>
          </w:rPr>
          <w:t>The Sonoran Desert</w:t>
        </w:r>
      </w:hyperlink>
      <w:r>
        <w:rPr>
          <w:i/>
        </w:rPr>
        <w:t xml:space="preserve"> </w:t>
      </w:r>
    </w:p>
    <w:p w14:paraId="66C85491" w14:textId="77777777" w:rsidR="00824427" w:rsidRDefault="00BD53FA">
      <w:pPr>
        <w:ind w:left="0" w:hanging="2"/>
        <w:rPr>
          <w:i/>
        </w:rPr>
      </w:pPr>
      <w:hyperlink r:id="rId9">
        <w:r w:rsidR="00970E25">
          <w:rPr>
            <w:i/>
            <w:color w:val="1155CC"/>
            <w:u w:val="single"/>
          </w:rPr>
          <w:t>Science will save the world!</w:t>
        </w:r>
      </w:hyperlink>
    </w:p>
    <w:p w14:paraId="2E612F85" w14:textId="77777777" w:rsidR="00824427" w:rsidRDefault="00970E25">
      <w:pPr>
        <w:ind w:left="0" w:hanging="2"/>
        <w:rPr>
          <w:i/>
        </w:rPr>
      </w:pPr>
      <w:r>
        <w:rPr>
          <w:i/>
        </w:rPr>
        <w:t xml:space="preserve"> </w:t>
      </w:r>
      <w:hyperlink r:id="rId10">
        <w:r>
          <w:rPr>
            <w:rFonts w:ascii="Arial" w:eastAsia="Arial" w:hAnsi="Arial" w:cs="Arial"/>
            <w:i/>
            <w:color w:val="1155CC"/>
            <w:sz w:val="22"/>
            <w:szCs w:val="22"/>
            <w:highlight w:val="white"/>
            <w:u w:val="single"/>
          </w:rPr>
          <w:t>https://www.nps.gov/im/sodn/ecosystems.htm</w:t>
        </w:r>
      </w:hyperlink>
    </w:p>
    <w:p w14:paraId="6168C9EC" w14:textId="77777777" w:rsidR="00824427" w:rsidRDefault="00824427">
      <w:pPr>
        <w:ind w:left="0" w:hanging="2"/>
        <w:jc w:val="center"/>
        <w:rPr>
          <w:sz w:val="20"/>
          <w:szCs w:val="20"/>
        </w:rPr>
      </w:pPr>
    </w:p>
    <w:tbl>
      <w:tblPr>
        <w:tblStyle w:val="a5"/>
        <w:tblW w:w="936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250"/>
        <w:gridCol w:w="7110"/>
      </w:tblGrid>
      <w:tr w:rsidR="00824427" w14:paraId="1B9AD3A3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3CF4" w14:textId="77777777" w:rsidR="00824427" w:rsidRDefault="00970E2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State Science Standard: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046D" w14:textId="77777777" w:rsidR="00824427" w:rsidRDefault="00970E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  <w:r>
              <w:rPr>
                <w:i/>
              </w:rPr>
              <w:t xml:space="preserve">6.L2U3.12: </w:t>
            </w:r>
          </w:p>
          <w:p w14:paraId="33D8B4BF" w14:textId="77777777" w:rsidR="00824427" w:rsidRDefault="00970E2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  <w:r>
              <w:rPr>
                <w:i/>
              </w:rPr>
              <w:t xml:space="preserve">Engage in argument from evidence to support a claim about the factors that cause species to change and how humans can impact those factors. </w:t>
            </w:r>
          </w:p>
        </w:tc>
      </w:tr>
      <w:tr w:rsidR="00824427" w14:paraId="4712C302" w14:textId="77777777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5DC4C" w14:textId="77777777" w:rsidR="00824427" w:rsidRDefault="00824427">
            <w:pPr>
              <w:ind w:left="0" w:hanging="2"/>
              <w:rPr>
                <w:b/>
                <w:sz w:val="20"/>
                <w:szCs w:val="20"/>
              </w:rPr>
            </w:pPr>
          </w:p>
          <w:p w14:paraId="64D11F68" w14:textId="77777777" w:rsidR="00824427" w:rsidRDefault="00970E2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Objective:</w:t>
            </w:r>
          </w:p>
          <w:p w14:paraId="45AEC3C7" w14:textId="77777777" w:rsidR="00824427" w:rsidRDefault="008244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91D1" w14:textId="77777777" w:rsidR="00824427" w:rsidRDefault="00970E25">
            <w:pPr>
              <w:numPr>
                <w:ilvl w:val="0"/>
                <w:numId w:val="2"/>
              </w:numPr>
              <w:spacing w:before="240" w:after="240"/>
              <w:ind w:left="0" w:hanging="2"/>
            </w:pPr>
            <w:r>
              <w:t>Students will identify the Sonoran Desert, its location, biodiversity, as well as ways plants and animals adapt to live there.</w:t>
            </w:r>
          </w:p>
          <w:p w14:paraId="0A7BE7AE" w14:textId="77777777" w:rsidR="00824427" w:rsidRDefault="00970E25">
            <w:pPr>
              <w:numPr>
                <w:ilvl w:val="0"/>
                <w:numId w:val="2"/>
              </w:numPr>
              <w:spacing w:before="240" w:after="240"/>
              <w:ind w:left="0" w:hanging="2"/>
            </w:pPr>
            <w:r>
              <w:t>Students will depict characteristics of each biome within a sky island in the Sonoran Desert</w:t>
            </w:r>
          </w:p>
          <w:p w14:paraId="4E73AF23" w14:textId="77777777" w:rsidR="00824427" w:rsidRDefault="00970E25">
            <w:pPr>
              <w:numPr>
                <w:ilvl w:val="0"/>
                <w:numId w:val="2"/>
              </w:numPr>
              <w:spacing w:before="240" w:after="240"/>
              <w:ind w:left="0" w:hanging="2"/>
              <w:rPr>
                <w:i/>
              </w:rPr>
            </w:pPr>
            <w:r>
              <w:t>Students will demonstrate the important role that biodiversity plays in the Sonoran Desert.</w:t>
            </w:r>
          </w:p>
        </w:tc>
      </w:tr>
      <w:tr w:rsidR="00824427" w14:paraId="0D2CDD2F" w14:textId="77777777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FEFC8" w14:textId="77777777" w:rsidR="00824427" w:rsidRDefault="00970E2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Objective: </w:t>
            </w:r>
            <w:r>
              <w:rPr>
                <w:sz w:val="20"/>
                <w:szCs w:val="20"/>
              </w:rPr>
              <w:t>(Optional)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8D26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E994D6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N/A</w:t>
            </w:r>
          </w:p>
          <w:p w14:paraId="4CFFD21F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24427" w14:paraId="688972C1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1976" w14:textId="77777777" w:rsidR="00824427" w:rsidRDefault="00970E2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Scientist of the Week: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7EFC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Scientist of the Week: Mario J. Molina</w:t>
            </w:r>
          </w:p>
          <w:p w14:paraId="017B6F74" w14:textId="77777777" w:rsidR="00824427" w:rsidRDefault="00970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5C448620" wp14:editId="4BDA71E2">
                  <wp:extent cx="3167063" cy="4219965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63" cy="4219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6F69D0" w14:textId="77777777" w:rsidR="00824427" w:rsidRDefault="00970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gramStart"/>
            <w:r>
              <w:t>Mexican-American</w:t>
            </w:r>
            <w:proofErr w:type="gramEnd"/>
            <w:r>
              <w:t xml:space="preserve"> chemist </w:t>
            </w:r>
          </w:p>
          <w:p w14:paraId="083B4502" w14:textId="77777777" w:rsidR="00824427" w:rsidRDefault="00970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Born March 19. 1943 in Mexico City</w:t>
            </w:r>
          </w:p>
          <w:p w14:paraId="64D300B7" w14:textId="77777777" w:rsidR="00824427" w:rsidRDefault="00970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During the 1970s, he did research about the destruction of the ozone layer due to industrial gases being released into the air. This led to a major decrease of CFC gas from being released into the air.  </w:t>
            </w:r>
          </w:p>
          <w:p w14:paraId="0DCF6604" w14:textId="77777777" w:rsidR="00824427" w:rsidRDefault="00970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Mario J. Molina studied how human activity can harm our surrounding environments.</w:t>
            </w:r>
          </w:p>
        </w:tc>
      </w:tr>
    </w:tbl>
    <w:p w14:paraId="7C044501" w14:textId="77777777" w:rsidR="00824427" w:rsidRDefault="00824427">
      <w:pPr>
        <w:ind w:left="0" w:hanging="2"/>
        <w:rPr>
          <w:sz w:val="20"/>
          <w:szCs w:val="20"/>
        </w:rPr>
      </w:pPr>
    </w:p>
    <w:tbl>
      <w:tblPr>
        <w:tblStyle w:val="a6"/>
        <w:tblW w:w="936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242"/>
        <w:gridCol w:w="630"/>
        <w:gridCol w:w="1872"/>
        <w:gridCol w:w="1872"/>
      </w:tblGrid>
      <w:tr w:rsidR="00824427" w14:paraId="1C9BB437" w14:textId="77777777"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30F9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92CD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Materials</w:t>
            </w:r>
          </w:p>
        </w:tc>
      </w:tr>
      <w:tr w:rsidR="00824427" w14:paraId="7D3CF364" w14:textId="77777777">
        <w:tc>
          <w:tcPr>
            <w:tcW w:w="4986" w:type="dxa"/>
            <w:gridSpan w:val="3"/>
            <w:tcBorders>
              <w:left w:val="single" w:sz="4" w:space="0" w:color="000000"/>
            </w:tcBorders>
          </w:tcPr>
          <w:p w14:paraId="1C5D717B" w14:textId="77777777" w:rsidR="00824427" w:rsidRDefault="00970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Biome: An area of the planet that can be classified according to the plants and animals that live in it</w:t>
            </w:r>
          </w:p>
          <w:p w14:paraId="47D74ACF" w14:textId="77777777" w:rsidR="00824427" w:rsidRDefault="00970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Sky Island: isolated mountains surrounded by radically different lowland environments</w:t>
            </w:r>
          </w:p>
          <w:p w14:paraId="295DB9D9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AF7AB9" w14:textId="77777777" w:rsidR="00824427" w:rsidRDefault="00BD53FA">
            <w:pPr>
              <w:ind w:left="0" w:hanging="2"/>
              <w:rPr>
                <w:i/>
                <w:sz w:val="20"/>
                <w:szCs w:val="20"/>
              </w:rPr>
            </w:pPr>
            <w:hyperlink r:id="rId12">
              <w:r w:rsidR="00970E25">
                <w:rPr>
                  <w:color w:val="1155CC"/>
                  <w:sz w:val="20"/>
                  <w:szCs w:val="20"/>
                  <w:u w:val="single"/>
                </w:rPr>
                <w:t>Sonoran Desert Map</w:t>
              </w:r>
            </w:hyperlink>
          </w:p>
          <w:p w14:paraId="6603CA38" w14:textId="77777777" w:rsidR="00824427" w:rsidRDefault="00824427">
            <w:pPr>
              <w:ind w:left="0" w:hanging="2"/>
              <w:rPr>
                <w:i/>
                <w:sz w:val="20"/>
                <w:szCs w:val="20"/>
              </w:rPr>
            </w:pPr>
          </w:p>
          <w:p w14:paraId="3A71BD55" w14:textId="709D4143" w:rsidR="00824427" w:rsidRDefault="00BD53FA" w:rsidP="002C3A4F">
            <w:pPr>
              <w:ind w:leftChars="0" w:left="0" w:firstLineChars="0" w:firstLine="0"/>
              <w:rPr>
                <w:i/>
                <w:sz w:val="20"/>
                <w:szCs w:val="20"/>
              </w:rPr>
            </w:pPr>
            <w:hyperlink r:id="rId13">
              <w:r w:rsidR="002C3A4F">
                <w:rPr>
                  <w:i/>
                  <w:color w:val="1155CC"/>
                  <w:sz w:val="20"/>
                  <w:szCs w:val="20"/>
                  <w:u w:val="single"/>
                </w:rPr>
                <w:t>S</w:t>
              </w:r>
              <w:r w:rsidR="00970E25">
                <w:rPr>
                  <w:i/>
                  <w:color w:val="1155CC"/>
                  <w:sz w:val="20"/>
                  <w:szCs w:val="20"/>
                  <w:u w:val="single"/>
                </w:rPr>
                <w:t>lides</w:t>
              </w:r>
            </w:hyperlink>
          </w:p>
          <w:p w14:paraId="38792A70" w14:textId="77777777" w:rsidR="00824427" w:rsidRDefault="00824427">
            <w:pPr>
              <w:ind w:left="0" w:hanging="2"/>
              <w:rPr>
                <w:i/>
                <w:sz w:val="20"/>
                <w:szCs w:val="20"/>
              </w:rPr>
            </w:pPr>
          </w:p>
          <w:p w14:paraId="1B5DEC3F" w14:textId="04B2ECBB" w:rsidR="00824427" w:rsidRDefault="00BD53FA">
            <w:pPr>
              <w:ind w:left="0" w:hanging="2"/>
              <w:rPr>
                <w:i/>
                <w:sz w:val="20"/>
                <w:szCs w:val="20"/>
              </w:rPr>
            </w:pPr>
            <w:hyperlink r:id="rId14">
              <w:r w:rsidR="00970E25">
                <w:rPr>
                  <w:i/>
                  <w:color w:val="1155CC"/>
                  <w:sz w:val="20"/>
                  <w:szCs w:val="20"/>
                  <w:u w:val="single"/>
                </w:rPr>
                <w:t xml:space="preserve">Lesson guide </w:t>
              </w:r>
            </w:hyperlink>
          </w:p>
        </w:tc>
      </w:tr>
      <w:tr w:rsidR="00824427" w14:paraId="6604D8EB" w14:textId="77777777">
        <w:trPr>
          <w:trHeight w:val="19"/>
        </w:trPr>
        <w:tc>
          <w:tcPr>
            <w:tcW w:w="49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52409C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F1F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24427" w14:paraId="75285956" w14:textId="77777777">
        <w:tc>
          <w:tcPr>
            <w:tcW w:w="93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559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Seasonality: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specific seasonality is required</w:t>
            </w:r>
          </w:p>
        </w:tc>
      </w:tr>
      <w:tr w:rsidR="00824427" w14:paraId="1F40D8C5" w14:textId="77777777">
        <w:trPr>
          <w:trHeight w:val="773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2890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Monsoons</w:t>
            </w:r>
          </w:p>
          <w:p w14:paraId="7638DA93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July-Sept.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376E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Autumn</w:t>
            </w:r>
          </w:p>
          <w:p w14:paraId="1B2964E2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Oct.-Nov.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F790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Winter</w:t>
            </w:r>
          </w:p>
          <w:p w14:paraId="65991166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Dec.- Feb.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57D6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Spring</w:t>
            </w:r>
          </w:p>
          <w:p w14:paraId="185F8828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Mar.-Apr.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3116" w14:textId="77777777" w:rsidR="00824427" w:rsidRDefault="00970E2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Dry Summer</w:t>
            </w:r>
          </w:p>
          <w:p w14:paraId="5D22E891" w14:textId="77777777" w:rsidR="00824427" w:rsidRDefault="00970E2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May-June</w:t>
            </w:r>
          </w:p>
        </w:tc>
      </w:tr>
      <w:tr w:rsidR="00824427" w14:paraId="22DA496A" w14:textId="77777777">
        <w:tc>
          <w:tcPr>
            <w:tcW w:w="93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CC18" w14:textId="77777777" w:rsidR="00824427" w:rsidRDefault="00970E25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Guiding Questions: </w:t>
            </w:r>
          </w:p>
          <w:p w14:paraId="534A75FB" w14:textId="77777777" w:rsidR="00824427" w:rsidRDefault="00824427">
            <w:pPr>
              <w:ind w:left="0" w:hanging="2"/>
              <w:rPr>
                <w:sz w:val="20"/>
                <w:szCs w:val="20"/>
              </w:rPr>
            </w:pPr>
          </w:p>
          <w:p w14:paraId="6A9D000A" w14:textId="77777777" w:rsidR="00824427" w:rsidRDefault="00970E25">
            <w:pPr>
              <w:widowControl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is a sky island? </w:t>
            </w:r>
          </w:p>
          <w:p w14:paraId="24176204" w14:textId="77777777" w:rsidR="00824427" w:rsidRDefault="00970E25">
            <w:pPr>
              <w:widowControl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kind of biomes can we find in the Sonoran Desert?</w:t>
            </w:r>
          </w:p>
          <w:p w14:paraId="3017F9E3" w14:textId="77777777" w:rsidR="00824427" w:rsidRDefault="00824427">
            <w:pPr>
              <w:widowControl/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2B3F3A15" w14:textId="77777777" w:rsidR="00824427" w:rsidRDefault="00824427">
      <w:pPr>
        <w:ind w:left="0" w:hanging="2"/>
        <w:rPr>
          <w:sz w:val="20"/>
          <w:szCs w:val="20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24427" w14:paraId="0EF1DC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F18D" w14:textId="77777777" w:rsidR="00824427" w:rsidRDefault="00970E25">
            <w:pPr>
              <w:ind w:left="0" w:hanging="2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5E Steps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715C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Teacher Strategies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A6AB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Student Behavior </w:t>
            </w:r>
          </w:p>
        </w:tc>
      </w:tr>
      <w:tr w:rsidR="00824427" w14:paraId="4CD3B62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7679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Engagement/Introductory Activity:</w:t>
            </w:r>
          </w:p>
          <w:p w14:paraId="0678EAF5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7B2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Have students write in the Zoom chat what they believe lives in the Sonoran Desert. Tell them to Type their answer in the zoom chat, but </w:t>
            </w:r>
            <w:proofErr w:type="gramStart"/>
            <w:r>
              <w:rPr>
                <w:sz w:val="20"/>
                <w:szCs w:val="20"/>
                <w:highlight w:val="white"/>
              </w:rPr>
              <w:t>don’t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send it yet! Countdown for a Zoom bomb.</w:t>
            </w:r>
          </w:p>
          <w:p w14:paraId="43B3E302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67189B04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 the Slide with the Question:</w:t>
            </w:r>
          </w:p>
          <w:p w14:paraId="35FFD9BF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“What lives in the Sonoran Desert?”</w:t>
            </w:r>
          </w:p>
          <w:p w14:paraId="33514071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4F21F08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Review the students’ </w:t>
            </w:r>
            <w:proofErr w:type="gramStart"/>
            <w:r>
              <w:rPr>
                <w:sz w:val="20"/>
                <w:szCs w:val="20"/>
                <w:highlight w:val="white"/>
              </w:rPr>
              <w:t>answers  and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talk about what they think lives in the Sonoran desert..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87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Students will answer questions through a zoom bomb and engage verbally in the conversation of what they think lives within the Sonoran Desert.</w:t>
            </w:r>
          </w:p>
          <w:p w14:paraId="2ED56D6D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824427" w14:paraId="286779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E1E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Exploratory Activity:</w:t>
            </w:r>
          </w:p>
          <w:p w14:paraId="238AAF7E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1A7B3464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9BF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Project a picture of the Sonoran Desert. </w:t>
            </w:r>
          </w:p>
          <w:p w14:paraId="1D8D696A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5511C5B3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Ask students to describe verbally what they see.</w:t>
            </w:r>
          </w:p>
          <w:p w14:paraId="25DA34BA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3F258F19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Inform students that they are looking at a region of the world called the Sonoran Desert. Tell them part of this desert is found in Arizona and that Tucson is part of the Sonoran Desert.</w:t>
            </w:r>
          </w:p>
          <w:p w14:paraId="1EEF8F85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6761A832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Explain: “So here in Tucson, AZ it’s a desert outside, and what that means is it’s really hot and dry, as we’ll show you in a second.</w:t>
            </w:r>
          </w:p>
          <w:p w14:paraId="287E7FED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It also means there’s very special weather and very special ways the climate works to make things different, as you go higher.</w:t>
            </w:r>
          </w:p>
          <w:p w14:paraId="17FE60F2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E016" w14:textId="77777777" w:rsidR="00824427" w:rsidRDefault="00970E25">
            <w:pPr>
              <w:spacing w:before="240" w:after="240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Students will describe verbally what they see.</w:t>
            </w:r>
          </w:p>
          <w:p w14:paraId="05765A01" w14:textId="77777777" w:rsidR="00824427" w:rsidRDefault="00970E25">
            <w:pPr>
              <w:spacing w:before="240" w:after="240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824427" w14:paraId="3C4B499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E813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Explain: </w:t>
            </w:r>
          </w:p>
          <w:p w14:paraId="4B37FA24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3D841DBB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107562EE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02610FB1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60A3BADD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87A8" w14:textId="77777777" w:rsidR="00824427" w:rsidRDefault="00BD53FA">
            <w:pPr>
              <w:ind w:left="0" w:hanging="2"/>
              <w:rPr>
                <w:sz w:val="20"/>
                <w:szCs w:val="20"/>
                <w:highlight w:val="white"/>
              </w:rPr>
            </w:pPr>
            <w:hyperlink r:id="rId15">
              <w:r w:rsidR="00970E25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Sonoran Desert Map</w:t>
              </w:r>
            </w:hyperlink>
          </w:p>
          <w:p w14:paraId="5414FA91" w14:textId="4CED176D" w:rsidR="00824427" w:rsidRDefault="00BD53FA">
            <w:pPr>
              <w:ind w:left="0" w:hanging="2"/>
              <w:rPr>
                <w:sz w:val="20"/>
                <w:szCs w:val="20"/>
                <w:highlight w:val="white"/>
              </w:rPr>
            </w:pPr>
            <w:hyperlink r:id="rId16">
              <w:r w:rsidR="00D364E9">
                <w:rPr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S</w:t>
              </w:r>
              <w:r w:rsidR="00970E25">
                <w:rPr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lides</w:t>
              </w:r>
            </w:hyperlink>
          </w:p>
          <w:p w14:paraId="43DD71E7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216793F8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Explain the Sonoran Desert </w:t>
            </w:r>
            <w:proofErr w:type="gramStart"/>
            <w:r>
              <w:rPr>
                <w:sz w:val="20"/>
                <w:szCs w:val="20"/>
                <w:highlight w:val="white"/>
              </w:rPr>
              <w:t>characteristics.(</w:t>
            </w:r>
            <w:proofErr w:type="gramEnd"/>
            <w:r>
              <w:rPr>
                <w:sz w:val="20"/>
                <w:szCs w:val="20"/>
                <w:highlight w:val="white"/>
              </w:rPr>
              <w:t>Location and climate slides)</w:t>
            </w:r>
          </w:p>
          <w:p w14:paraId="1DA45DE6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Reinforce the concept of lesson #1 content by asking: Ask: what is biodiversity?</w:t>
            </w:r>
          </w:p>
          <w:p w14:paraId="45B2FB00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7E53FC8C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Biodiversity is a word used to describe the variety of plants and animals in an environment.</w:t>
            </w:r>
          </w:p>
          <w:p w14:paraId="770C86FC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36A362C4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Explain that During the summer, the Sonoran Desert has a monsoon season. Monsoon rains are caused by a change in wind that creates thunder and rainstorms. Oftentimes, it rains so hard and fast that the streets flood and cars get swept away!</w:t>
            </w:r>
          </w:p>
          <w:p w14:paraId="3510BE5D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5E63C25C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Introduce and Explain the following concepts:</w:t>
            </w:r>
          </w:p>
          <w:p w14:paraId="342435B0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Biome:</w:t>
            </w:r>
          </w:p>
          <w:p w14:paraId="6C2C7AD9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Sky Island</w:t>
            </w:r>
          </w:p>
          <w:p w14:paraId="0171D5D7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4817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Students will answer and participate verbally </w:t>
            </w:r>
          </w:p>
        </w:tc>
      </w:tr>
      <w:tr w:rsidR="00824427" w14:paraId="4A7CDB9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E8ED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Extension Activity/Questions:</w:t>
            </w:r>
          </w:p>
          <w:p w14:paraId="74619287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  <w:p w14:paraId="5E3F3B5A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  <w:p w14:paraId="3AD4E4B5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B4A5" w14:textId="3FD2FA4C" w:rsidR="00824427" w:rsidRDefault="00BD53FA">
            <w:pPr>
              <w:ind w:left="0" w:hanging="2"/>
              <w:rPr>
                <w:sz w:val="20"/>
                <w:szCs w:val="20"/>
                <w:highlight w:val="white"/>
              </w:rPr>
            </w:pPr>
            <w:hyperlink r:id="rId17">
              <w:r w:rsidR="00D364E9">
                <w:rPr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S</w:t>
              </w:r>
              <w:r w:rsidR="00970E25">
                <w:rPr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lides</w:t>
              </w:r>
            </w:hyperlink>
          </w:p>
          <w:p w14:paraId="5D5CDCF4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4E9573A0" w14:textId="4A247972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Lead a virtual sky island trip and explain each biome including vegetation and animals. </w:t>
            </w:r>
            <w:hyperlink r:id="rId18">
              <w:r>
                <w:rPr>
                  <w:i/>
                  <w:color w:val="1155CC"/>
                  <w:sz w:val="20"/>
                  <w:szCs w:val="20"/>
                  <w:highlight w:val="white"/>
                  <w:u w:val="single"/>
                </w:rPr>
                <w:t xml:space="preserve">Lesson guide </w:t>
              </w:r>
            </w:hyperlink>
          </w:p>
          <w:p w14:paraId="5681AC0C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47B229E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Have the students draw a mountain on a piece of paper and tell them to draw each biome of “our Arizona sky island” depicting an animal and a plant in each different biome.</w:t>
            </w:r>
          </w:p>
          <w:p w14:paraId="18FEE2E2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0552A8A9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BIOME #1 - DESERT</w:t>
            </w:r>
          </w:p>
          <w:p w14:paraId="4F1D037B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.</w:t>
            </w:r>
          </w:p>
          <w:p w14:paraId="271B6658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BIOME #2 – GRASSLAND</w:t>
            </w:r>
          </w:p>
          <w:p w14:paraId="6131FD95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</w:t>
            </w:r>
          </w:p>
          <w:p w14:paraId="55DA1F22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BIOME #3 – MADREAN WOODLAND</w:t>
            </w:r>
          </w:p>
          <w:p w14:paraId="2BE94BAC" w14:textId="77777777" w:rsidR="00824427" w:rsidRDefault="00824427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14:paraId="3008C3AD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BIOME #4 – CHAPARRAL </w:t>
            </w:r>
          </w:p>
          <w:p w14:paraId="5B47948B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.</w:t>
            </w:r>
          </w:p>
          <w:p w14:paraId="641A8A63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BIOME #5 – TEMPERATE FOREST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D566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Students will listen to each Biome’s characteristics and draw a sky island on a piece of paper.</w:t>
            </w:r>
          </w:p>
          <w:p w14:paraId="3776974D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  <w:p w14:paraId="5B97385E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Students will depict characteristics of each biome in their drawings.</w:t>
            </w:r>
          </w:p>
          <w:p w14:paraId="535A4E5B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824427" w14:paraId="475CCF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043A" w14:textId="77777777" w:rsidR="00824427" w:rsidRDefault="00970E25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Evaluation Activity:</w:t>
            </w:r>
          </w:p>
          <w:p w14:paraId="490BECC7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  <w:p w14:paraId="6987619C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9D47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Ask students to show their drawings </w:t>
            </w:r>
            <w:proofErr w:type="gramStart"/>
            <w:r>
              <w:rPr>
                <w:sz w:val="20"/>
                <w:szCs w:val="20"/>
                <w:highlight w:val="white"/>
              </w:rPr>
              <w:lastRenderedPageBreak/>
              <w:t>in order to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evaluate their comprehension of biomes and sky islands. Ask them about what it means to be on a sky island and to describe Which Biome is their favorite and why.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6D16" w14:textId="77777777" w:rsidR="00824427" w:rsidRDefault="0097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Students will show their </w:t>
            </w:r>
            <w:proofErr w:type="gramStart"/>
            <w:r>
              <w:rPr>
                <w:sz w:val="20"/>
                <w:szCs w:val="20"/>
                <w:highlight w:val="white"/>
              </w:rPr>
              <w:t xml:space="preserve">drawings  </w:t>
            </w:r>
            <w:r>
              <w:rPr>
                <w:sz w:val="20"/>
                <w:szCs w:val="20"/>
                <w:highlight w:val="white"/>
              </w:rPr>
              <w:lastRenderedPageBreak/>
              <w:t>and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will answer the questions via zoom chat or verbally.</w:t>
            </w:r>
          </w:p>
          <w:p w14:paraId="7C43929F" w14:textId="77777777" w:rsidR="00824427" w:rsidRDefault="0082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</w:tbl>
    <w:p w14:paraId="4E8B979F" w14:textId="77777777" w:rsidR="00824427" w:rsidRDefault="00824427">
      <w:pPr>
        <w:ind w:left="0" w:hanging="2"/>
        <w:rPr>
          <w:sz w:val="20"/>
          <w:szCs w:val="20"/>
          <w:highlight w:val="white"/>
        </w:rPr>
      </w:pPr>
    </w:p>
    <w:sectPr w:rsidR="0082442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C1A5" w14:textId="77777777" w:rsidR="00BD53FA" w:rsidRDefault="00BD53FA">
      <w:pPr>
        <w:spacing w:line="240" w:lineRule="auto"/>
        <w:ind w:left="0" w:hanging="2"/>
      </w:pPr>
      <w:r>
        <w:separator/>
      </w:r>
    </w:p>
  </w:endnote>
  <w:endnote w:type="continuationSeparator" w:id="0">
    <w:p w14:paraId="4F5C3CF8" w14:textId="77777777" w:rsidR="00BD53FA" w:rsidRDefault="00BD53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5F76" w14:textId="77777777" w:rsidR="00824427" w:rsidRDefault="00970E25">
    <w:pPr>
      <w:ind w:left="0" w:hanging="2"/>
      <w:jc w:val="center"/>
      <w:rPr>
        <w:sz w:val="18"/>
        <w:szCs w:val="18"/>
      </w:rPr>
    </w:pPr>
    <w:r>
      <w:rPr>
        <w:sz w:val="18"/>
        <w:szCs w:val="18"/>
      </w:rPr>
      <w:t>Modified from the UA Community and School Garden’s Green Academy Lesson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4CB7" w14:textId="77777777" w:rsidR="00BD53FA" w:rsidRDefault="00BD53FA">
      <w:pPr>
        <w:spacing w:line="240" w:lineRule="auto"/>
        <w:ind w:left="0" w:hanging="2"/>
      </w:pPr>
      <w:r>
        <w:separator/>
      </w:r>
    </w:p>
  </w:footnote>
  <w:footnote w:type="continuationSeparator" w:id="0">
    <w:p w14:paraId="72B1A38A" w14:textId="77777777" w:rsidR="00BD53FA" w:rsidRDefault="00BD53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DE2A" w14:textId="77777777" w:rsidR="00824427" w:rsidRDefault="00970E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B5E2151" wp14:editId="7530ED86">
          <wp:extent cx="3315048" cy="719138"/>
          <wp:effectExtent l="0" t="0" r="0" b="0"/>
          <wp:docPr id="1031" name="image2.png" descr="Women in Science and Engineering (WI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omen in Science and Engineering (WI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504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B52"/>
    <w:multiLevelType w:val="multilevel"/>
    <w:tmpl w:val="EBBA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A3018"/>
    <w:multiLevelType w:val="multilevel"/>
    <w:tmpl w:val="8C54D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F61E22"/>
    <w:multiLevelType w:val="multilevel"/>
    <w:tmpl w:val="588C4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B04943"/>
    <w:multiLevelType w:val="multilevel"/>
    <w:tmpl w:val="9A1A3F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1B5CC9"/>
    <w:multiLevelType w:val="multilevel"/>
    <w:tmpl w:val="93047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27"/>
    <w:rsid w:val="0027077D"/>
    <w:rsid w:val="002C3A4F"/>
    <w:rsid w:val="00815FEF"/>
    <w:rsid w:val="00824427"/>
    <w:rsid w:val="00970E25"/>
    <w:rsid w:val="00BD53FA"/>
    <w:rsid w:val="00D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EEDA"/>
  <w15:docId w15:val="{FE37E421-FABD-46F4-9D15-698C75D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alliance.asu.edu/sites/default/files/LessonFiles/Haile/Sonoran/HaileSonoranT.pdf" TargetMode="External"/><Relationship Id="rId13" Type="http://schemas.openxmlformats.org/officeDocument/2006/relationships/hyperlink" Target="https://biodiversityproject.arizona.edu/sites/default/files/biomes%20sonoran%20desert%20lesson%202%20slides%20%282%29.pptx" TargetMode="External"/><Relationship Id="rId18" Type="http://schemas.openxmlformats.org/officeDocument/2006/relationships/hyperlink" Target="https://biodiversityproject.arizona.edu/sites/default/files/BIOME%20video%20transcript%20%281%29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eoalliance.asu.edu/sites/default/files/maps/Sonoran_Desert.pdf" TargetMode="External"/><Relationship Id="rId17" Type="http://schemas.openxmlformats.org/officeDocument/2006/relationships/hyperlink" Target="https://biodiversityproject.arizona.edu/sites/default/files/biomes%20sonoran%20desert%20lesson%202%20slides%20%282%29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diversityproject.arizona.edu/sites/default/files/biomes%20sonoran%20desert%20lesson%202%20slides%20%282%29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geoalliance.asu.edu/sites/default/files/maps/Sonoran_Desert.pdf" TargetMode="External"/><Relationship Id="rId10" Type="http://schemas.openxmlformats.org/officeDocument/2006/relationships/hyperlink" Target="https://www.nps.gov/im/sodn/ecosystems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-fQTWCTD0" TargetMode="External"/><Relationship Id="rId14" Type="http://schemas.openxmlformats.org/officeDocument/2006/relationships/hyperlink" Target="https://biodiversityproject.arizona.edu/sites/default/files/BIOME%20video%20transcript%20%281%29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ptxFwW+uoxTh1IBVP19HUBL0Q==">AMUW2mXO96P2QMahpxhNopNDYbab4BS8fzx4tLxfgFmAYjjBdFSP4+yuhB5QWv/wQ7Q+YnjqDZ4IoWJtTFMFzraQZyPFb0EvcyPmxoAR1CHCTeTK4Jqjld4=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Oswald</dc:creator>
  <cp:lastModifiedBy>Lizbeth Perez</cp:lastModifiedBy>
  <cp:revision>3</cp:revision>
  <dcterms:created xsi:type="dcterms:W3CDTF">2020-12-07T19:39:00Z</dcterms:created>
  <dcterms:modified xsi:type="dcterms:W3CDTF">2020-12-17T02:30:00Z</dcterms:modified>
</cp:coreProperties>
</file>